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1A" w:rsidRPr="003727CD" w:rsidRDefault="00E26A1A" w:rsidP="0052653A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4"/>
          <w:szCs w:val="24"/>
        </w:rPr>
      </w:pPr>
      <w:r w:rsidRPr="003727CD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E26A1A" w:rsidRPr="0052653A" w:rsidRDefault="00E26A1A" w:rsidP="0052653A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CD">
        <w:rPr>
          <w:rFonts w:ascii="Times New Roman" w:hAnsi="Times New Roman" w:cs="Times New Roman"/>
          <w:sz w:val="24"/>
          <w:szCs w:val="24"/>
        </w:rPr>
        <w:t>до Звіту за ре</w:t>
      </w:r>
      <w:r>
        <w:rPr>
          <w:rFonts w:ascii="Times New Roman" w:hAnsi="Times New Roman" w:cs="Times New Roman"/>
          <w:sz w:val="24"/>
          <w:szCs w:val="24"/>
        </w:rPr>
        <w:t xml:space="preserve">зультатами оцінки корупційних ризиків у діяльності </w:t>
      </w:r>
      <w:r w:rsidR="00621690">
        <w:rPr>
          <w:rFonts w:ascii="Times New Roman" w:hAnsi="Times New Roman" w:cs="Times New Roman"/>
          <w:sz w:val="24"/>
          <w:szCs w:val="24"/>
        </w:rPr>
        <w:t>Державного управління справами</w:t>
      </w:r>
      <w:r w:rsidR="0052653A" w:rsidRPr="0052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653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83A37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2653A">
        <w:rPr>
          <w:rFonts w:ascii="Times New Roman" w:hAnsi="Times New Roman" w:cs="Times New Roman"/>
          <w:sz w:val="24"/>
          <w:szCs w:val="24"/>
          <w:lang w:val="ru-RU"/>
        </w:rPr>
        <w:t>2021</w:t>
      </w:r>
      <w:r w:rsidR="00983A37" w:rsidRPr="00A523A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2653A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2169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653A">
        <w:rPr>
          <w:rFonts w:ascii="Times New Roman" w:hAnsi="Times New Roman" w:cs="Times New Roman"/>
          <w:sz w:val="24"/>
          <w:szCs w:val="24"/>
          <w:lang w:val="ru-RU"/>
        </w:rPr>
        <w:t xml:space="preserve"> роки</w:t>
      </w:r>
    </w:p>
    <w:p w:rsidR="00E26A1A" w:rsidRDefault="00E26A1A" w:rsidP="00E26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A1A" w:rsidRDefault="00E26A1A" w:rsidP="00E26A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 ідентифікованих корупційних ризиків </w:t>
      </w:r>
    </w:p>
    <w:p w:rsidR="00E26A1A" w:rsidRDefault="00E26A1A" w:rsidP="00E26A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3727CD">
        <w:rPr>
          <w:rFonts w:ascii="Times New Roman" w:hAnsi="Times New Roman" w:cs="Times New Roman"/>
          <w:b/>
          <w:sz w:val="28"/>
          <w:szCs w:val="28"/>
        </w:rPr>
        <w:t xml:space="preserve">діяльності </w:t>
      </w:r>
      <w:r w:rsidR="00D14D38">
        <w:rPr>
          <w:rFonts w:ascii="Times New Roman" w:hAnsi="Times New Roman" w:cs="Times New Roman"/>
          <w:b/>
          <w:sz w:val="28"/>
          <w:szCs w:val="28"/>
        </w:rPr>
        <w:t>Державного управління справами</w:t>
      </w:r>
      <w:r>
        <w:rPr>
          <w:rFonts w:ascii="Times New Roman" w:hAnsi="Times New Roman" w:cs="Times New Roman"/>
          <w:b/>
          <w:sz w:val="28"/>
          <w:szCs w:val="28"/>
        </w:rPr>
        <w:t>, чинники корупційних ризиків та можливі наслідки корупційного правопорушення чи порушення, пов’язаного з корупцією</w:t>
      </w:r>
    </w:p>
    <w:p w:rsidR="00E26A1A" w:rsidRDefault="00E26A1A" w:rsidP="00E26A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645"/>
        <w:gridCol w:w="3640"/>
        <w:gridCol w:w="3645"/>
        <w:gridCol w:w="3640"/>
      </w:tblGrid>
      <w:tr w:rsidR="00E26A1A" w:rsidRPr="00A104BF" w:rsidTr="00FF205E">
        <w:trPr>
          <w:tblHeader/>
        </w:trPr>
        <w:tc>
          <w:tcPr>
            <w:tcW w:w="3645" w:type="dxa"/>
          </w:tcPr>
          <w:p w:rsidR="00E26A1A" w:rsidRPr="00A104BF" w:rsidRDefault="00E26A1A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BF">
              <w:rPr>
                <w:rFonts w:ascii="Times New Roman" w:hAnsi="Times New Roman" w:cs="Times New Roman"/>
                <w:b/>
                <w:sz w:val="20"/>
                <w:szCs w:val="20"/>
              </w:rPr>
              <w:t>Ідентифікований корупційний ризик</w:t>
            </w:r>
          </w:p>
        </w:tc>
        <w:tc>
          <w:tcPr>
            <w:tcW w:w="3640" w:type="dxa"/>
          </w:tcPr>
          <w:p w:rsidR="00E26A1A" w:rsidRPr="00A104BF" w:rsidRDefault="00E26A1A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 ідентифікованого </w:t>
            </w:r>
          </w:p>
          <w:p w:rsidR="00E26A1A" w:rsidRPr="00A104BF" w:rsidRDefault="00E26A1A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BF">
              <w:rPr>
                <w:rFonts w:ascii="Times New Roman" w:hAnsi="Times New Roman" w:cs="Times New Roman"/>
                <w:b/>
                <w:sz w:val="20"/>
                <w:szCs w:val="20"/>
              </w:rPr>
              <w:t>корупційного ризику</w:t>
            </w:r>
          </w:p>
        </w:tc>
        <w:tc>
          <w:tcPr>
            <w:tcW w:w="3645" w:type="dxa"/>
          </w:tcPr>
          <w:p w:rsidR="00E26A1A" w:rsidRPr="00A104BF" w:rsidRDefault="00E26A1A" w:rsidP="007A2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BF">
              <w:rPr>
                <w:rFonts w:ascii="Times New Roman" w:hAnsi="Times New Roman" w:cs="Times New Roman"/>
                <w:b/>
                <w:sz w:val="20"/>
                <w:szCs w:val="20"/>
              </w:rPr>
              <w:t>Чинники корупційного ризику</w:t>
            </w:r>
          </w:p>
        </w:tc>
        <w:tc>
          <w:tcPr>
            <w:tcW w:w="3640" w:type="dxa"/>
          </w:tcPr>
          <w:p w:rsidR="00E26A1A" w:rsidRDefault="00E26A1A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BF">
              <w:rPr>
                <w:rFonts w:ascii="Times New Roman" w:hAnsi="Times New Roman" w:cs="Times New Roman"/>
                <w:b/>
                <w:sz w:val="20"/>
                <w:szCs w:val="20"/>
              </w:rPr>
              <w:t>Можливі наслідки корупційного правопорушення чи порушення, пов’язаного з корупцією</w:t>
            </w:r>
          </w:p>
          <w:p w:rsidR="003112FC" w:rsidRPr="00A104BF" w:rsidRDefault="003112FC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3A37" w:rsidRPr="00A104BF" w:rsidTr="00FF205E">
        <w:trPr>
          <w:tblHeader/>
        </w:trPr>
        <w:tc>
          <w:tcPr>
            <w:tcW w:w="3645" w:type="dxa"/>
          </w:tcPr>
          <w:p w:rsidR="00983A37" w:rsidRPr="00983A37" w:rsidRDefault="00983A37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dxa"/>
          </w:tcPr>
          <w:p w:rsidR="00983A37" w:rsidRPr="00983A37" w:rsidRDefault="00983A37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5" w:type="dxa"/>
          </w:tcPr>
          <w:p w:rsidR="00983A37" w:rsidRPr="00983A37" w:rsidRDefault="00983A37" w:rsidP="007A2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0" w:type="dxa"/>
          </w:tcPr>
          <w:p w:rsidR="00983A37" w:rsidRPr="00983A37" w:rsidRDefault="00983A37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2911" w:rsidRPr="008D00E7" w:rsidTr="00840CE0">
        <w:trPr>
          <w:trHeight w:val="140"/>
        </w:trPr>
        <w:tc>
          <w:tcPr>
            <w:tcW w:w="14570" w:type="dxa"/>
            <w:gridSpan w:val="4"/>
          </w:tcPr>
          <w:p w:rsidR="00A12911" w:rsidRPr="00223C18" w:rsidRDefault="00365C6C" w:rsidP="00223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12911" w:rsidRPr="00E76F38">
              <w:rPr>
                <w:rFonts w:ascii="Times New Roman" w:hAnsi="Times New Roman"/>
                <w:b/>
              </w:rPr>
              <w:t>. Система внутрішнього контролю</w:t>
            </w:r>
          </w:p>
        </w:tc>
      </w:tr>
      <w:tr w:rsidR="00554439" w:rsidRPr="008D00E7" w:rsidTr="00FF205E">
        <w:trPr>
          <w:trHeight w:val="480"/>
        </w:trPr>
        <w:tc>
          <w:tcPr>
            <w:tcW w:w="3645" w:type="dxa"/>
          </w:tcPr>
          <w:p w:rsidR="00554439" w:rsidRPr="00D76508" w:rsidRDefault="00D76508" w:rsidP="00223C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508">
              <w:rPr>
                <w:rFonts w:ascii="Times New Roman" w:hAnsi="Times New Roman" w:cs="Times New Roman"/>
                <w:sz w:val="20"/>
                <w:szCs w:val="20"/>
              </w:rPr>
              <w:t xml:space="preserve">Можлива </w:t>
            </w:r>
            <w:proofErr w:type="spellStart"/>
            <w:r w:rsidRPr="00D76508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D76508">
              <w:rPr>
                <w:rFonts w:ascii="Times New Roman" w:hAnsi="Times New Roman" w:cs="Times New Roman"/>
                <w:sz w:val="20"/>
                <w:szCs w:val="20"/>
              </w:rPr>
              <w:t xml:space="preserve"> посадових осіб </w:t>
            </w:r>
            <w:proofErr w:type="spellStart"/>
            <w:r w:rsidRPr="00D765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Pr="00D76508">
              <w:rPr>
                <w:rFonts w:ascii="Times New Roman" w:hAnsi="Times New Roman" w:cs="Times New Roman"/>
                <w:sz w:val="20"/>
                <w:szCs w:val="20"/>
              </w:rPr>
              <w:t xml:space="preserve"> під час опрацювання запитів на публічну інформацію, звернень громадян</w:t>
            </w:r>
          </w:p>
        </w:tc>
        <w:tc>
          <w:tcPr>
            <w:tcW w:w="3640" w:type="dxa"/>
          </w:tcPr>
          <w:p w:rsidR="00365C6C" w:rsidRPr="00A12911" w:rsidRDefault="00365C6C" w:rsidP="00365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Розголошення інформації, що стала відома внаслідок виконання посадових обов’язків для використання у власних цілях </w:t>
            </w:r>
          </w:p>
          <w:p w:rsidR="00554439" w:rsidRDefault="00554439" w:rsidP="00B22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:rsidR="00365C6C" w:rsidRDefault="00365C6C" w:rsidP="00365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Відсутність належних заходів контролю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невстановлення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або недостатній контроль за опрацюванням інформації).</w:t>
            </w:r>
          </w:p>
          <w:p w:rsidR="003112FC" w:rsidRDefault="003112FC" w:rsidP="00365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439" w:rsidRDefault="00365C6C" w:rsidP="00365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Неповідомлення працівника про персональну відповідальність за якість, своєчасність та достовірність результатів опрацювання інформації</w:t>
            </w:r>
          </w:p>
          <w:p w:rsidR="003112FC" w:rsidRDefault="003112FC" w:rsidP="00365C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</w:tcPr>
          <w:p w:rsidR="00554439" w:rsidRDefault="00B646D3" w:rsidP="00223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18">
              <w:rPr>
                <w:rFonts w:ascii="Times New Roman" w:hAnsi="Times New Roman" w:cs="Times New Roman"/>
                <w:sz w:val="20"/>
                <w:szCs w:val="20"/>
              </w:rPr>
              <w:t>Притягнення посадових осіб до відпо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відальності</w:t>
            </w:r>
          </w:p>
          <w:p w:rsidR="00B646D3" w:rsidRDefault="00B646D3" w:rsidP="00B64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6D3" w:rsidRDefault="00B646D3" w:rsidP="00B6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18">
              <w:rPr>
                <w:rFonts w:ascii="Times New Roman" w:hAnsi="Times New Roman" w:cs="Times New Roman"/>
                <w:sz w:val="20"/>
                <w:szCs w:val="20"/>
              </w:rPr>
              <w:t xml:space="preserve">Судові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процеси проти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="00983A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46D3" w:rsidRPr="00223C18" w:rsidRDefault="00B646D3" w:rsidP="00B64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C18"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  <w:tr w:rsidR="00D53795" w:rsidRPr="008D00E7" w:rsidTr="00FF205E">
        <w:trPr>
          <w:trHeight w:val="383"/>
        </w:trPr>
        <w:tc>
          <w:tcPr>
            <w:tcW w:w="14570" w:type="dxa"/>
            <w:gridSpan w:val="4"/>
          </w:tcPr>
          <w:p w:rsidR="00D53795" w:rsidRPr="008F182B" w:rsidRDefault="00365C6C" w:rsidP="007A2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182B" w:rsidRPr="008F182B">
              <w:rPr>
                <w:rFonts w:ascii="Times New Roman" w:hAnsi="Times New Roman" w:cs="Times New Roman"/>
                <w:b/>
                <w:sz w:val="24"/>
                <w:szCs w:val="24"/>
              </w:rPr>
              <w:t>. Управління персоналом</w:t>
            </w:r>
          </w:p>
        </w:tc>
      </w:tr>
      <w:tr w:rsidR="00D53795" w:rsidRPr="008D00E7" w:rsidTr="00FF205E">
        <w:trPr>
          <w:trHeight w:val="1605"/>
        </w:trPr>
        <w:tc>
          <w:tcPr>
            <w:tcW w:w="3645" w:type="dxa"/>
          </w:tcPr>
          <w:p w:rsidR="00D53795" w:rsidRPr="00D76508" w:rsidRDefault="00D76508" w:rsidP="00983A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Можливість впливу </w:t>
            </w:r>
            <w:r w:rsidR="00983A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третіх</w:t>
            </w:r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осіб на членів конкурсної комісії на зайняття вакантних посад державної служби у </w:t>
            </w:r>
            <w:proofErr w:type="spellStart"/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ДУС</w:t>
            </w:r>
            <w:proofErr w:type="spellEnd"/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результати конкурсу з метою сприяння </w:t>
            </w:r>
            <w:r w:rsidR="00983A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прийнятті на державну службу</w:t>
            </w:r>
          </w:p>
        </w:tc>
        <w:tc>
          <w:tcPr>
            <w:tcW w:w="3640" w:type="dxa"/>
          </w:tcPr>
          <w:p w:rsidR="00D53795" w:rsidRDefault="00D53795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Завідомо упереджене ставлення членів конкурсної комісії до претендентів на зайняття посад державної служби.</w:t>
            </w:r>
          </w:p>
          <w:p w:rsidR="005A0919" w:rsidRDefault="00D53795" w:rsidP="005A0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попередня домовленість</w:t>
            </w:r>
            <w:r w:rsidR="005A0919">
              <w:rPr>
                <w:rFonts w:ascii="Times New Roman" w:hAnsi="Times New Roman" w:cs="Times New Roman"/>
                <w:sz w:val="20"/>
                <w:szCs w:val="20"/>
              </w:rPr>
              <w:t xml:space="preserve"> членів конкурсної комісії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Задоволення інтересів сторонніх осіб</w:t>
            </w:r>
            <w:r w:rsidR="005A0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3A37">
              <w:rPr>
                <w:rFonts w:ascii="Times New Roman" w:hAnsi="Times New Roman" w:cs="Times New Roman"/>
                <w:sz w:val="20"/>
                <w:szCs w:val="20"/>
              </w:rPr>
              <w:t>під час</w:t>
            </w:r>
            <w:r w:rsidR="005A0919">
              <w:rPr>
                <w:rFonts w:ascii="Times New Roman" w:hAnsi="Times New Roman" w:cs="Times New Roman"/>
                <w:sz w:val="20"/>
                <w:szCs w:val="20"/>
              </w:rPr>
              <w:t xml:space="preserve"> прийнятт</w:t>
            </w:r>
            <w:r w:rsidR="00983A3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A0919">
              <w:rPr>
                <w:rFonts w:ascii="Times New Roman" w:hAnsi="Times New Roman" w:cs="Times New Roman"/>
                <w:sz w:val="20"/>
                <w:szCs w:val="20"/>
              </w:rPr>
              <w:t xml:space="preserve"> осіб на вакантні посади в </w:t>
            </w:r>
            <w:proofErr w:type="spellStart"/>
            <w:r w:rsidR="005A0919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  <w:p w:rsidR="003112FC" w:rsidRDefault="003112FC" w:rsidP="005A0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:rsidR="00D53795" w:rsidRDefault="00D53795" w:rsidP="007A2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членів конкурсної комісії.</w:t>
            </w:r>
          </w:p>
          <w:p w:rsidR="00D53795" w:rsidRDefault="00D53795" w:rsidP="007A2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Неправомірна вигода за сприяння в успішному проходженні конкурсного відбору</w:t>
            </w:r>
          </w:p>
        </w:tc>
        <w:tc>
          <w:tcPr>
            <w:tcW w:w="3640" w:type="dxa"/>
          </w:tcPr>
          <w:p w:rsidR="00D53795" w:rsidRDefault="00D53795" w:rsidP="00840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Вчинення корупційного чи пов’язаного з корупцією правопорушення. Притягнення посадових осіб до відповідальності. Судові процеси проти </w:t>
            </w:r>
            <w:proofErr w:type="spellStart"/>
            <w:r w:rsidR="005A0919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="005A09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795" w:rsidRDefault="00D53795" w:rsidP="005A0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 w:rsidR="005A0919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  <w:tr w:rsidR="00FF205E" w:rsidRPr="008D00E7" w:rsidTr="00A12911">
        <w:trPr>
          <w:trHeight w:val="3555"/>
        </w:trPr>
        <w:tc>
          <w:tcPr>
            <w:tcW w:w="3645" w:type="dxa"/>
          </w:tcPr>
          <w:p w:rsidR="00D76508" w:rsidRPr="00D76508" w:rsidRDefault="00D76508" w:rsidP="00D765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Можлива </w:t>
            </w:r>
            <w:proofErr w:type="spellStart"/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недоброчесність</w:t>
            </w:r>
            <w:proofErr w:type="spellEnd"/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посадових осіб </w:t>
            </w:r>
            <w:proofErr w:type="spellStart"/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ДУС</w:t>
            </w:r>
            <w:proofErr w:type="spellEnd"/>
            <w:r w:rsidRPr="00D765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21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6508">
              <w:rPr>
                <w:rFonts w:ascii="Times New Roman" w:hAnsi="Times New Roman" w:cs="Times New Roman"/>
                <w:sz w:val="20"/>
                <w:szCs w:val="20"/>
              </w:rPr>
              <w:t xml:space="preserve"> процесі контролю за дотриманням законодавства про працю та державну службу, правил внутрішнього трудового розпорядку в </w:t>
            </w:r>
            <w:proofErr w:type="spellStart"/>
            <w:r w:rsidRPr="00D765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Pr="00D76508">
              <w:rPr>
                <w:rFonts w:ascii="Times New Roman" w:hAnsi="Times New Roman" w:cs="Times New Roman"/>
                <w:sz w:val="20"/>
                <w:szCs w:val="20"/>
              </w:rPr>
              <w:t>, моніторингу</w:t>
            </w:r>
            <w:r w:rsidRPr="00D765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дотримання правил етичної поведінки</w:t>
            </w:r>
          </w:p>
          <w:p w:rsidR="00FF205E" w:rsidRDefault="00FF205E" w:rsidP="003112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05E" w:rsidRDefault="00FF205E" w:rsidP="003112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</w:tcPr>
          <w:p w:rsidR="00FF205E" w:rsidRPr="00B646D3" w:rsidRDefault="00FF205E" w:rsidP="003112F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D3">
              <w:rPr>
                <w:rFonts w:ascii="Times New Roman" w:hAnsi="Times New Roman" w:cs="Times New Roman"/>
                <w:sz w:val="20"/>
                <w:szCs w:val="20"/>
              </w:rPr>
              <w:t>Наявність у працівника, який здійснює контроль, особистого</w:t>
            </w:r>
          </w:p>
          <w:p w:rsidR="00FF205E" w:rsidRPr="00B646D3" w:rsidRDefault="00FF205E" w:rsidP="003112F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D3">
              <w:rPr>
                <w:rFonts w:ascii="Times New Roman" w:hAnsi="Times New Roman" w:cs="Times New Roman"/>
                <w:sz w:val="20"/>
                <w:szCs w:val="20"/>
              </w:rPr>
              <w:t>(немайнового) інтересу для створення сприятливих умов для третіх осіб (рідних, друзів, знайомих);</w:t>
            </w:r>
          </w:p>
          <w:p w:rsidR="00FF205E" w:rsidRPr="00B646D3" w:rsidRDefault="00FF205E" w:rsidP="003112F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D3">
              <w:rPr>
                <w:rFonts w:ascii="Times New Roman" w:hAnsi="Times New Roman" w:cs="Times New Roman"/>
                <w:sz w:val="20"/>
                <w:szCs w:val="20"/>
              </w:rPr>
              <w:t>службові повноваження працівників  підрозділу, на який покладено функції контролю за  дотриманням законодавства про працю та державну службу, правил трудового внутрішнього розпорядку, норм етичної поведінки державних службовців, можуть використовуватися</w:t>
            </w:r>
          </w:p>
          <w:p w:rsidR="00FF205E" w:rsidRDefault="00FF205E" w:rsidP="003112F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6D3">
              <w:rPr>
                <w:rFonts w:ascii="Times New Roman" w:hAnsi="Times New Roman" w:cs="Times New Roman"/>
                <w:sz w:val="20"/>
                <w:szCs w:val="20"/>
              </w:rPr>
              <w:t>дискреційно</w:t>
            </w:r>
            <w:proofErr w:type="spellEnd"/>
            <w:r w:rsidRPr="00B646D3">
              <w:rPr>
                <w:rFonts w:ascii="Times New Roman" w:hAnsi="Times New Roman" w:cs="Times New Roman"/>
                <w:sz w:val="20"/>
                <w:szCs w:val="20"/>
              </w:rPr>
              <w:t xml:space="preserve"> щодо заходів реагування на порушення</w:t>
            </w:r>
          </w:p>
        </w:tc>
        <w:tc>
          <w:tcPr>
            <w:tcW w:w="3645" w:type="dxa"/>
          </w:tcPr>
          <w:p w:rsidR="0004426A" w:rsidRDefault="0004426A" w:rsidP="000442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Відсутність належних заходів контролю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невстановлення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контролю або недостатній контроль за </w:t>
            </w:r>
            <w:r w:rsidRPr="00FF205E">
              <w:rPr>
                <w:rFonts w:ascii="Times New Roman" w:hAnsi="Times New Roman" w:cs="Times New Roman"/>
                <w:sz w:val="20"/>
                <w:szCs w:val="20"/>
              </w:rPr>
              <w:t>дотриманням законодавства про працю та державну службу, правил трудового внутрішнього розпорядку, норм етичної поведінки державних службовців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4426A" w:rsidRDefault="0004426A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31A" w:rsidRDefault="00B8231A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05E" w:rsidRDefault="00B8231A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Відсутність систематичного доведення до відома посадових осіб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фактів виявлення таких порушень та їх наслідків </w:t>
            </w:r>
          </w:p>
          <w:p w:rsidR="00B646D3" w:rsidRPr="00563FC9" w:rsidRDefault="00B646D3" w:rsidP="00563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40" w:type="dxa"/>
          </w:tcPr>
          <w:p w:rsidR="00C50D0F" w:rsidRDefault="00FF205E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Вчинення корупційного чи пов’язаного з корупцією правопорушення. </w:t>
            </w:r>
          </w:p>
          <w:p w:rsidR="00FF205E" w:rsidRDefault="00FF205E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Притягнення посадових осіб до відповідальності. Судові процеси проти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205E" w:rsidRDefault="00FF205E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  <w:tr w:rsidR="00A12911" w:rsidRPr="008D00E7" w:rsidTr="00840CE0">
        <w:trPr>
          <w:trHeight w:val="180"/>
        </w:trPr>
        <w:tc>
          <w:tcPr>
            <w:tcW w:w="14570" w:type="dxa"/>
            <w:gridSpan w:val="4"/>
          </w:tcPr>
          <w:p w:rsidR="00A12911" w:rsidRPr="00B8231A" w:rsidRDefault="00563FC9" w:rsidP="00FF2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31A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A12911" w:rsidRPr="00B8231A">
              <w:rPr>
                <w:rFonts w:ascii="Times New Roman" w:hAnsi="Times New Roman" w:cs="Times New Roman"/>
                <w:b/>
              </w:rPr>
              <w:t>. Проведення процедур закупівель</w:t>
            </w:r>
          </w:p>
        </w:tc>
      </w:tr>
      <w:tr w:rsidR="00A12911" w:rsidRPr="008D00E7" w:rsidTr="00C50D0F">
        <w:trPr>
          <w:trHeight w:val="1845"/>
        </w:trPr>
        <w:tc>
          <w:tcPr>
            <w:tcW w:w="3645" w:type="dxa"/>
          </w:tcPr>
          <w:p w:rsidR="00D76508" w:rsidRPr="001D219C" w:rsidRDefault="00D76508" w:rsidP="00D76508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19C">
              <w:rPr>
                <w:rFonts w:ascii="Times New Roman" w:hAnsi="Times New Roman" w:cs="Times New Roman"/>
                <w:sz w:val="20"/>
                <w:szCs w:val="20"/>
              </w:rPr>
              <w:t xml:space="preserve">Можлива </w:t>
            </w:r>
            <w:proofErr w:type="spellStart"/>
            <w:r w:rsidRPr="001D219C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1D21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посадових осіб </w:t>
            </w:r>
            <w:proofErr w:type="spellStart"/>
            <w:r w:rsidRPr="001D2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ДУС</w:t>
            </w:r>
            <w:proofErr w:type="spellEnd"/>
            <w:r w:rsidRPr="001D21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219C">
              <w:rPr>
                <w:rFonts w:ascii="Times New Roman" w:hAnsi="Times New Roman" w:cs="Times New Roman"/>
                <w:sz w:val="20"/>
                <w:szCs w:val="20"/>
              </w:rPr>
              <w:t>при визначенні  кваліфікаційних вимог, характеристик предмета закупівлі, визначення</w:t>
            </w:r>
          </w:p>
          <w:p w:rsidR="00D76508" w:rsidRPr="001D219C" w:rsidRDefault="00D76508" w:rsidP="00D76508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19C">
              <w:rPr>
                <w:rFonts w:ascii="Times New Roman" w:hAnsi="Times New Roman" w:cs="Times New Roman"/>
                <w:sz w:val="20"/>
                <w:szCs w:val="20"/>
              </w:rPr>
              <w:t>переможця процедури закупівлі</w:t>
            </w:r>
          </w:p>
          <w:p w:rsidR="00A12911" w:rsidRPr="00FF205E" w:rsidRDefault="00A12911" w:rsidP="00C50D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</w:tcPr>
          <w:p w:rsidR="00563FC9" w:rsidRPr="00563FC9" w:rsidRDefault="00563FC9" w:rsidP="00563FC9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Існує можливість задоволення посадовими особами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приватних інтересів під час планування та проведення процедури закупівлі шляхом визначення технічних вимог для закупівлі, які надають перевагу певному учаснику процедури закупівлі внаслідок завчасно досягнутих посадовими особами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домовленостей з третіми особами</w:t>
            </w:r>
          </w:p>
          <w:p w:rsidR="00563FC9" w:rsidRPr="00563FC9" w:rsidRDefault="00563FC9" w:rsidP="00C50D0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C9" w:rsidRPr="00563FC9" w:rsidRDefault="00563FC9" w:rsidP="00C50D0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</w:tcPr>
          <w:p w:rsidR="00B646D3" w:rsidRDefault="0007608C" w:rsidP="0007608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08C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0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6D3" w:rsidRPr="0007608C">
              <w:rPr>
                <w:rFonts w:ascii="Times New Roman" w:hAnsi="Times New Roman" w:cs="Times New Roman"/>
                <w:sz w:val="20"/>
                <w:szCs w:val="20"/>
              </w:rPr>
              <w:t>працівника, який  розробляє або здійснює погодження тендерної документації</w:t>
            </w:r>
            <w:r w:rsidR="001D2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D0F" w:rsidRPr="0007608C" w:rsidRDefault="00C50D0F" w:rsidP="0007608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2FC" w:rsidRDefault="0007608C" w:rsidP="00B8231A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Неправомірна вигода за</w:t>
            </w:r>
            <w:r w:rsidR="00C50D0F">
              <w:rPr>
                <w:rFonts w:ascii="Times New Roman" w:hAnsi="Times New Roman" w:cs="Times New Roman"/>
                <w:sz w:val="20"/>
                <w:szCs w:val="20"/>
              </w:rPr>
              <w:t xml:space="preserve"> погодження </w:t>
            </w:r>
            <w:r w:rsidR="00C50D0F" w:rsidRPr="0007608C">
              <w:rPr>
                <w:rFonts w:ascii="Times New Roman" w:hAnsi="Times New Roman" w:cs="Times New Roman"/>
                <w:sz w:val="20"/>
                <w:szCs w:val="20"/>
              </w:rPr>
              <w:t>тендерної документації</w:t>
            </w:r>
            <w:r w:rsidR="00C50D0F">
              <w:rPr>
                <w:rFonts w:ascii="Times New Roman" w:hAnsi="Times New Roman" w:cs="Times New Roman"/>
                <w:sz w:val="20"/>
                <w:szCs w:val="20"/>
              </w:rPr>
              <w:t>, яка не відповідає кваліфікаційним вимогам</w:t>
            </w:r>
            <w:r w:rsidR="00B823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 w:rsidR="00563FC9">
              <w:rPr>
                <w:rFonts w:ascii="Times New Roman" w:hAnsi="Times New Roman" w:cs="Times New Roman"/>
                <w:sz w:val="20"/>
                <w:szCs w:val="20"/>
              </w:rPr>
              <w:t>за сприяння в успішному проведенні процедури закупівлі</w:t>
            </w:r>
            <w:r w:rsidR="001D21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231A" w:rsidRDefault="00B8231A" w:rsidP="00B8231A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31A" w:rsidRPr="00B8231A" w:rsidRDefault="00B8231A" w:rsidP="00B8231A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Відсутність процедури контролю за діями посадових осіб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під час проведення тендерів </w:t>
            </w:r>
          </w:p>
        </w:tc>
        <w:tc>
          <w:tcPr>
            <w:tcW w:w="3640" w:type="dxa"/>
          </w:tcPr>
          <w:p w:rsidR="00C50D0F" w:rsidRDefault="00C50D0F" w:rsidP="00C50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Вчинення корупційного чи пов’язаного з корупцією правопорушення. </w:t>
            </w:r>
          </w:p>
          <w:p w:rsidR="00C50D0F" w:rsidRDefault="00C50D0F" w:rsidP="00C50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Притягнення посадових осіб до відповідальності. Судові процеси проти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2911" w:rsidRDefault="00C50D0F" w:rsidP="00C50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</w:tbl>
    <w:p w:rsidR="00956D49" w:rsidRDefault="00956D49">
      <w:r>
        <w:br w:type="page"/>
      </w:r>
    </w:p>
    <w:tbl>
      <w:tblPr>
        <w:tblStyle w:val="aa"/>
        <w:tblW w:w="0" w:type="auto"/>
        <w:tblLook w:val="04A0"/>
      </w:tblPr>
      <w:tblGrid>
        <w:gridCol w:w="3645"/>
        <w:gridCol w:w="30"/>
        <w:gridCol w:w="3600"/>
        <w:gridCol w:w="10"/>
        <w:gridCol w:w="3645"/>
        <w:gridCol w:w="20"/>
        <w:gridCol w:w="3620"/>
      </w:tblGrid>
      <w:tr w:rsidR="00852EDD" w:rsidRPr="008D00E7" w:rsidTr="00A12911">
        <w:trPr>
          <w:trHeight w:val="335"/>
        </w:trPr>
        <w:tc>
          <w:tcPr>
            <w:tcW w:w="14570" w:type="dxa"/>
            <w:gridSpan w:val="7"/>
          </w:tcPr>
          <w:p w:rsidR="00852EDD" w:rsidRPr="00035E08" w:rsidRDefault="00563FC9" w:rsidP="00C50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4</w:t>
            </w:r>
            <w:r w:rsidR="00A12911" w:rsidRPr="00035E08">
              <w:rPr>
                <w:rFonts w:ascii="Times New Roman" w:hAnsi="Times New Roman" w:cs="Times New Roman"/>
                <w:b/>
                <w:sz w:val="20"/>
                <w:szCs w:val="20"/>
              </w:rPr>
              <w:t>. Реалізація контрольно-наглядових функцій</w:t>
            </w:r>
          </w:p>
          <w:p w:rsidR="00956D49" w:rsidRPr="00035E08" w:rsidRDefault="00956D49" w:rsidP="00C50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041A5D" w:rsidRPr="008D00E7" w:rsidTr="00956D49">
        <w:trPr>
          <w:trHeight w:val="2456"/>
        </w:trPr>
        <w:tc>
          <w:tcPr>
            <w:tcW w:w="3675" w:type="dxa"/>
            <w:gridSpan w:val="2"/>
          </w:tcPr>
          <w:p w:rsidR="00041A5D" w:rsidRPr="00035E08" w:rsidRDefault="00D76508" w:rsidP="00D76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Можлива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посадових осіб </w:t>
            </w:r>
            <w:r w:rsidR="00016604" w:rsidRPr="00035E08">
              <w:rPr>
                <w:rFonts w:ascii="Times New Roman" w:hAnsi="Times New Roman" w:cs="Times New Roman"/>
                <w:sz w:val="20"/>
                <w:szCs w:val="20"/>
              </w:rPr>
              <w:t>під час проведення внутрішнього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аудиту </w:t>
            </w:r>
          </w:p>
        </w:tc>
        <w:tc>
          <w:tcPr>
            <w:tcW w:w="3600" w:type="dxa"/>
          </w:tcPr>
          <w:p w:rsidR="00041A5D" w:rsidRPr="00035E08" w:rsidRDefault="00041A5D" w:rsidP="00041A5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посадовою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особою, 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яка</w:t>
            </w:r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здійснює аудит (або входить до складу робочої групи з проведення аудиту, перевірки), </w:t>
            </w:r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умов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дії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бездіяльності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здійсненні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моніторингу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об’єкті, що </w:t>
            </w:r>
            <w:proofErr w:type="gramStart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ідлягає аудиту, перевірці, може спричинити необ’єктивне (упереджене) ставлення до вивчення стану справ на об’єкті аудиту, перевірки, подання недостовірної  або необ’єктивної інформації</w:t>
            </w:r>
            <w:r w:rsidR="00016604"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, а також розголошення інформації</w:t>
            </w:r>
          </w:p>
          <w:p w:rsidR="00956D49" w:rsidRPr="00035E08" w:rsidRDefault="00956D49" w:rsidP="0004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3"/>
          </w:tcPr>
          <w:p w:rsidR="00041A5D" w:rsidRPr="00035E08" w:rsidRDefault="00282DC0" w:rsidP="001B6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Низький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івень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морально-етичних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якостей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посадових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осіб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Управління</w:t>
            </w:r>
            <w:proofErr w:type="spellEnd"/>
          </w:p>
        </w:tc>
        <w:tc>
          <w:tcPr>
            <w:tcW w:w="3620" w:type="dxa"/>
          </w:tcPr>
          <w:p w:rsidR="00041A5D" w:rsidRPr="00035E08" w:rsidRDefault="00041A5D" w:rsidP="001B6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Вчинення корупційного чи пов’язаного з корупцією правопорушення. </w:t>
            </w:r>
          </w:p>
          <w:p w:rsidR="00041A5D" w:rsidRPr="00035E08" w:rsidRDefault="00041A5D" w:rsidP="001B6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Притягнення посадових осіб до відповідальності. Судові процеси проти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A5D" w:rsidRPr="00035E08" w:rsidRDefault="00041A5D" w:rsidP="001B6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  <w:tr w:rsidR="00041A5D" w:rsidRPr="008D00E7" w:rsidTr="00A12911">
        <w:trPr>
          <w:trHeight w:val="1205"/>
        </w:trPr>
        <w:tc>
          <w:tcPr>
            <w:tcW w:w="3675" w:type="dxa"/>
            <w:gridSpan w:val="2"/>
          </w:tcPr>
          <w:p w:rsidR="00041A5D" w:rsidRPr="00035E08" w:rsidRDefault="00D76508" w:rsidP="00D76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Можлива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35E0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посадових осіб у процесі виконання функцій і завдань щодо </w:t>
            </w:r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поточного та попереднього фінансового контролю фінансово-господарської діяльності підприємств </w:t>
            </w:r>
            <w:proofErr w:type="spellStart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  <w:tc>
          <w:tcPr>
            <w:tcW w:w="3600" w:type="dxa"/>
          </w:tcPr>
          <w:p w:rsidR="00041A5D" w:rsidRPr="00035E08" w:rsidRDefault="00041A5D" w:rsidP="0004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особистого майнового (немайнового) інтересу в працівника, який здійснює підготовку погодження фінансових планів, кошторисів, штатних розписів, контрактів, кредитних угод, тендерних процедур, інших документів, які потребують погодження (затвердження) органу управління, що в подальшому може призвести до незаконного, неефективного та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нерезультативного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використання бюджетних (державних) коштів</w:t>
            </w:r>
          </w:p>
        </w:tc>
        <w:tc>
          <w:tcPr>
            <w:tcW w:w="3675" w:type="dxa"/>
            <w:gridSpan w:val="3"/>
          </w:tcPr>
          <w:p w:rsidR="006965DC" w:rsidRPr="00035E08" w:rsidRDefault="006965DC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посадових осіб, які здійснюють підготовку, погодження фінансових планів, кошторисів, штатних розписів, контрактів, кредитних угод, тендерних процедур, інших документів, які потребують погодження (затвердження) органу управління</w:t>
            </w:r>
            <w:r w:rsidR="001D219C" w:rsidRPr="0003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65DC" w:rsidRPr="00035E08" w:rsidRDefault="006965DC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A5D" w:rsidRPr="00035E08" w:rsidRDefault="006965DC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Неправомірна вигода за сприяння в успішному погодженні фінансових планів, кошторисів, штатних розписів</w:t>
            </w:r>
            <w:r w:rsidR="00563FC9" w:rsidRPr="00035E08">
              <w:rPr>
                <w:rFonts w:ascii="Times New Roman" w:hAnsi="Times New Roman" w:cs="Times New Roman"/>
                <w:sz w:val="20"/>
                <w:szCs w:val="20"/>
              </w:rPr>
              <w:t>, контрактів, кредитних угод, тендерних процедур, інших документів, які потребують погодження (затвердження) органу управління</w:t>
            </w:r>
          </w:p>
          <w:p w:rsidR="00956D49" w:rsidRPr="00035E08" w:rsidRDefault="00956D49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</w:tcPr>
          <w:p w:rsidR="00041A5D" w:rsidRPr="00035E08" w:rsidRDefault="00041A5D" w:rsidP="0004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Вчинення корупційного чи пов’язаного з корупцією правопорушення. </w:t>
            </w:r>
          </w:p>
          <w:p w:rsidR="00041A5D" w:rsidRPr="00035E08" w:rsidRDefault="00041A5D" w:rsidP="0004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Притягнення посадових осіб до відповідальності. Судові процеси проти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1A5D" w:rsidRPr="00035E08" w:rsidRDefault="00041A5D" w:rsidP="0004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  <w:tr w:rsidR="00A12911" w:rsidRPr="008D00E7" w:rsidTr="00840CE0">
        <w:trPr>
          <w:trHeight w:val="270"/>
        </w:trPr>
        <w:tc>
          <w:tcPr>
            <w:tcW w:w="14570" w:type="dxa"/>
            <w:gridSpan w:val="7"/>
          </w:tcPr>
          <w:p w:rsidR="00A12911" w:rsidRPr="00035E08" w:rsidRDefault="00563FC9" w:rsidP="00A1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A12911" w:rsidRPr="00035E08">
              <w:rPr>
                <w:rFonts w:ascii="Times New Roman" w:hAnsi="Times New Roman" w:cs="Times New Roman"/>
                <w:b/>
                <w:sz w:val="20"/>
                <w:szCs w:val="20"/>
              </w:rPr>
              <w:t>. Управління об’єктами державної власності</w:t>
            </w:r>
          </w:p>
          <w:p w:rsidR="00956D49" w:rsidRPr="00035E08" w:rsidRDefault="00956D49" w:rsidP="00A1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A12911" w:rsidRPr="008D00E7" w:rsidTr="00A12911">
        <w:trPr>
          <w:trHeight w:val="285"/>
        </w:trPr>
        <w:tc>
          <w:tcPr>
            <w:tcW w:w="3675" w:type="dxa"/>
            <w:gridSpan w:val="2"/>
          </w:tcPr>
          <w:p w:rsidR="00A12911" w:rsidRPr="00035E08" w:rsidRDefault="006965DC" w:rsidP="00D76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E04" w:rsidRPr="0003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посадових осіб </w:t>
            </w:r>
            <w:proofErr w:type="spellStart"/>
            <w:r w:rsidR="00614E04" w:rsidRPr="00035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</w:t>
            </w:r>
            <w:proofErr w:type="spellEnd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під час </w:t>
            </w:r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підготовки управлінських рішень стосовно управління об’єктами державної власності, доцільності запровадження державних інвестиційних </w:t>
            </w:r>
            <w:proofErr w:type="spellStart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підприємствах </w:t>
            </w:r>
            <w:proofErr w:type="spellStart"/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  <w:tc>
          <w:tcPr>
            <w:tcW w:w="3600" w:type="dxa"/>
          </w:tcPr>
          <w:p w:rsidR="00A12911" w:rsidRPr="00035E08" w:rsidRDefault="006965DC" w:rsidP="00A12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Прийняття посадовою особою Управління майном та інвестиційними проектами необ’єктивних та упереджених рішень, бездіяльність щодо управління об’єктами державної власності, економічно необґрунтованих висновків щодо доцільності запровадженн</w:t>
            </w:r>
            <w:r w:rsidR="001D219C"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я державного інвестиційного </w:t>
            </w:r>
            <w:proofErr w:type="spellStart"/>
            <w:r w:rsidR="001D219C" w:rsidRPr="00035E08">
              <w:rPr>
                <w:rFonts w:ascii="Times New Roman" w:hAnsi="Times New Roman" w:cs="Times New Roman"/>
                <w:sz w:val="20"/>
                <w:szCs w:val="20"/>
              </w:rPr>
              <w:t>проє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кту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метою отримання неправомірної вигоди, у тому числі використання будь-якого державного майна або коштів, от</w:t>
            </w:r>
            <w:r w:rsidR="001D219C" w:rsidRPr="00035E08">
              <w:rPr>
                <w:rFonts w:ascii="Times New Roman" w:hAnsi="Times New Roman" w:cs="Times New Roman"/>
                <w:sz w:val="20"/>
                <w:szCs w:val="20"/>
              </w:rPr>
              <w:t>риманих від його використання, у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приватних, особистих інтересах</w:t>
            </w:r>
          </w:p>
        </w:tc>
        <w:tc>
          <w:tcPr>
            <w:tcW w:w="3675" w:type="dxa"/>
            <w:gridSpan w:val="3"/>
          </w:tcPr>
          <w:p w:rsidR="00A12911" w:rsidRPr="00035E08" w:rsidRDefault="00563FC9" w:rsidP="003F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Неправомірна вигода за</w:t>
            </w:r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>необ’єктивн</w:t>
            </w:r>
            <w:proofErr w:type="spellEnd"/>
            <w:r w:rsidR="003F4256"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>упереджен</w:t>
            </w:r>
            <w:proofErr w:type="spellEnd"/>
            <w:r w:rsidR="003F4256"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proofErr w:type="spellStart"/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>рішен</w:t>
            </w:r>
            <w:r w:rsidR="003F4256"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ня</w:t>
            </w:r>
            <w:proofErr w:type="spellEnd"/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>, бездіяльність щодо управління об’єктами державної власності</w:t>
            </w:r>
            <w:r w:rsidR="003F4256"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F4256" w:rsidRPr="00035E08">
              <w:rPr>
                <w:rFonts w:ascii="Times New Roman" w:hAnsi="Times New Roman" w:cs="Times New Roman"/>
                <w:sz w:val="20"/>
                <w:szCs w:val="20"/>
              </w:rPr>
              <w:t>економічно необґрунтованих висновків</w:t>
            </w:r>
          </w:p>
          <w:p w:rsidR="003F4256" w:rsidRPr="00035E08" w:rsidRDefault="003F4256" w:rsidP="003F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F4256" w:rsidRPr="00035E08" w:rsidRDefault="003F4256" w:rsidP="003F4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20" w:type="dxa"/>
          </w:tcPr>
          <w:p w:rsidR="006965DC" w:rsidRPr="00035E08" w:rsidRDefault="006965DC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Вчинення корупційного чи пов’язаного з корупцією правопорушення. </w:t>
            </w:r>
          </w:p>
          <w:p w:rsidR="006965DC" w:rsidRPr="00035E08" w:rsidRDefault="006965DC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Притягнення посадових осіб до відповідальності. Судові процеси проти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2911" w:rsidRPr="00035E08" w:rsidRDefault="006965DC" w:rsidP="00696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  <w:tr w:rsidR="00A12911" w:rsidRPr="008D00E7" w:rsidTr="00FF205E">
        <w:trPr>
          <w:trHeight w:val="300"/>
        </w:trPr>
        <w:tc>
          <w:tcPr>
            <w:tcW w:w="14570" w:type="dxa"/>
            <w:gridSpan w:val="7"/>
          </w:tcPr>
          <w:p w:rsidR="00A12911" w:rsidRPr="00035E08" w:rsidRDefault="00563FC9" w:rsidP="007A2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035E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  <w:r w:rsidR="00A12911" w:rsidRPr="00035E08">
              <w:rPr>
                <w:rFonts w:ascii="Times New Roman" w:hAnsi="Times New Roman" w:cs="Times New Roman"/>
                <w:b/>
                <w:sz w:val="20"/>
                <w:szCs w:val="20"/>
              </w:rPr>
              <w:t>. Правова робота</w:t>
            </w:r>
          </w:p>
        </w:tc>
      </w:tr>
      <w:tr w:rsidR="00852EDD" w:rsidRPr="008D00E7" w:rsidTr="0057684E">
        <w:trPr>
          <w:trHeight w:val="1635"/>
        </w:trPr>
        <w:tc>
          <w:tcPr>
            <w:tcW w:w="3645" w:type="dxa"/>
          </w:tcPr>
          <w:p w:rsidR="00852EDD" w:rsidRPr="00035E08" w:rsidRDefault="00D76508" w:rsidP="00D7650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Можлива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недоброчесність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посадових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ос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іб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юридичного управління під час ведення претензійної та позовної роботи, а також під час контролю за укладенням та виконанням договорів</w:t>
            </w:r>
          </w:p>
        </w:tc>
        <w:tc>
          <w:tcPr>
            <w:tcW w:w="3640" w:type="dxa"/>
            <w:gridSpan w:val="3"/>
          </w:tcPr>
          <w:p w:rsidR="00282DC0" w:rsidRPr="00035E08" w:rsidRDefault="00282DC0" w:rsidP="00392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Наявність конфлікту інтересів, особистого майнового (немайнового) інтересу</w:t>
            </w:r>
            <w:r w:rsidR="00392A15" w:rsidRPr="00035E08">
              <w:rPr>
                <w:rFonts w:ascii="Times New Roman" w:hAnsi="Times New Roman" w:cs="Times New Roman"/>
                <w:sz w:val="20"/>
                <w:szCs w:val="20"/>
              </w:rPr>
              <w:t>, а також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A15" w:rsidRPr="00035E0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F2F61"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еправомірні дії (бездіяльність) з боку посадових осіб на користь третіх осіб </w:t>
            </w:r>
            <w:r w:rsidR="00392A15" w:rsidRPr="00035E08">
              <w:rPr>
                <w:rFonts w:ascii="Times New Roman" w:hAnsi="Times New Roman" w:cs="Times New Roman"/>
                <w:sz w:val="20"/>
                <w:szCs w:val="20"/>
              </w:rPr>
              <w:t>під час виконання свої</w:t>
            </w:r>
            <w:r w:rsidR="00035E0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92A15"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посадових обов’язків </w:t>
            </w:r>
          </w:p>
        </w:tc>
        <w:tc>
          <w:tcPr>
            <w:tcW w:w="3645" w:type="dxa"/>
          </w:tcPr>
          <w:p w:rsidR="0057684E" w:rsidRPr="00035E08" w:rsidRDefault="00BE0EFC" w:rsidP="00BE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Недоброчесність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посадових осіб, які здійснюють претензійно-позовну роботу</w:t>
            </w:r>
            <w:r w:rsidR="001D219C" w:rsidRPr="0003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0EFC" w:rsidRPr="00035E08" w:rsidRDefault="00BE0EFC" w:rsidP="00BE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EFC" w:rsidRPr="00035E08" w:rsidRDefault="00BE0EFC" w:rsidP="00BE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Неправомірна вигода за</w:t>
            </w:r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сприяння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Pr="00035E08">
              <w:rPr>
                <w:rFonts w:ascii="Times New Roman" w:eastAsia="Calibri" w:hAnsi="Times New Roman" w:cs="Times New Roman"/>
                <w:sz w:val="20"/>
                <w:szCs w:val="20"/>
              </w:rPr>
              <w:t>укладенн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767A04"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та виконанні</w:t>
            </w: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 договорів  </w:t>
            </w:r>
          </w:p>
        </w:tc>
        <w:tc>
          <w:tcPr>
            <w:tcW w:w="3640" w:type="dxa"/>
            <w:gridSpan w:val="2"/>
          </w:tcPr>
          <w:p w:rsidR="00D14D38" w:rsidRPr="00035E08" w:rsidRDefault="00D14D38" w:rsidP="00956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Вчинення корупційного чи пов’язаного з корупцією правопорушення.</w:t>
            </w:r>
          </w:p>
          <w:p w:rsidR="00D14D38" w:rsidRPr="00035E08" w:rsidRDefault="00D14D38" w:rsidP="00956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Притягнення посадових осіб до відповідальності. Судові процеси проти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EDD" w:rsidRPr="00035E08" w:rsidRDefault="00D14D38" w:rsidP="00956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35E08">
              <w:rPr>
                <w:rFonts w:ascii="Times New Roman" w:hAnsi="Times New Roman" w:cs="Times New Roman"/>
                <w:sz w:val="20"/>
                <w:szCs w:val="20"/>
              </w:rPr>
              <w:t xml:space="preserve">Втрата репутації </w:t>
            </w:r>
            <w:proofErr w:type="spellStart"/>
            <w:r w:rsidRPr="00035E08">
              <w:rPr>
                <w:rFonts w:ascii="Times New Roman" w:hAnsi="Times New Roman" w:cs="Times New Roman"/>
                <w:sz w:val="20"/>
                <w:szCs w:val="20"/>
              </w:rPr>
              <w:t>ДУС</w:t>
            </w:r>
            <w:proofErr w:type="spellEnd"/>
          </w:p>
        </w:tc>
      </w:tr>
    </w:tbl>
    <w:p w:rsidR="00E26A1A" w:rsidRDefault="00E26A1A" w:rsidP="00E26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690" w:rsidRDefault="00621690" w:rsidP="00E26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690" w:rsidRPr="00621690" w:rsidRDefault="00621690" w:rsidP="00621690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621690">
        <w:rPr>
          <w:rFonts w:ascii="Times New Roman" w:eastAsia="Calibri" w:hAnsi="Times New Roman" w:cs="Times New Roman"/>
          <w:sz w:val="28"/>
          <w:szCs w:val="28"/>
        </w:rPr>
        <w:t>Секретар Комісії</w:t>
      </w:r>
    </w:p>
    <w:p w:rsidR="00621690" w:rsidRPr="00621690" w:rsidRDefault="00621690" w:rsidP="00621690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621690">
        <w:rPr>
          <w:rFonts w:ascii="Times New Roman" w:eastAsia="Calibri" w:hAnsi="Times New Roman" w:cs="Times New Roman"/>
          <w:sz w:val="28"/>
          <w:szCs w:val="28"/>
        </w:rPr>
        <w:t xml:space="preserve">з проведення оцінки корупційних ризиків </w:t>
      </w:r>
    </w:p>
    <w:p w:rsidR="00621690" w:rsidRPr="00621690" w:rsidRDefault="00621690" w:rsidP="00621690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621690">
        <w:rPr>
          <w:rFonts w:ascii="Times New Roman" w:eastAsia="Calibri" w:hAnsi="Times New Roman" w:cs="Times New Roman"/>
          <w:sz w:val="28"/>
          <w:szCs w:val="28"/>
        </w:rPr>
        <w:t>у Державн</w:t>
      </w:r>
      <w:r w:rsidRPr="00621690">
        <w:rPr>
          <w:rFonts w:ascii="Times New Roman" w:hAnsi="Times New Roman" w:cs="Times New Roman"/>
          <w:sz w:val="28"/>
          <w:szCs w:val="28"/>
        </w:rPr>
        <w:t>ому управлінні справами</w:t>
      </w:r>
      <w:r w:rsidRPr="00621690">
        <w:rPr>
          <w:rFonts w:ascii="Times New Roman" w:hAnsi="Times New Roman" w:cs="Times New Roman"/>
          <w:sz w:val="28"/>
          <w:szCs w:val="28"/>
        </w:rPr>
        <w:tab/>
      </w:r>
      <w:r w:rsidRPr="00621690">
        <w:rPr>
          <w:rFonts w:ascii="Times New Roman" w:hAnsi="Times New Roman" w:cs="Times New Roman"/>
          <w:sz w:val="28"/>
          <w:szCs w:val="28"/>
        </w:rPr>
        <w:tab/>
      </w:r>
      <w:r w:rsidRPr="00621690">
        <w:rPr>
          <w:rFonts w:ascii="Times New Roman" w:hAnsi="Times New Roman" w:cs="Times New Roman"/>
          <w:sz w:val="28"/>
          <w:szCs w:val="28"/>
        </w:rPr>
        <w:tab/>
      </w:r>
      <w:r w:rsidRPr="00621690">
        <w:rPr>
          <w:rFonts w:ascii="Times New Roman" w:hAnsi="Times New Roman" w:cs="Times New Roman"/>
          <w:sz w:val="28"/>
          <w:szCs w:val="28"/>
        </w:rPr>
        <w:tab/>
      </w:r>
      <w:r w:rsidRPr="00621690">
        <w:rPr>
          <w:rFonts w:ascii="Times New Roman" w:eastAsia="Calibri" w:hAnsi="Times New Roman" w:cs="Times New Roman"/>
          <w:sz w:val="28"/>
          <w:szCs w:val="28"/>
        </w:rPr>
        <w:tab/>
      </w:r>
      <w:r w:rsidRPr="0062169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169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D219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169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21690">
        <w:rPr>
          <w:rFonts w:ascii="Times New Roman" w:eastAsia="Calibri" w:hAnsi="Times New Roman" w:cs="Times New Roman"/>
          <w:b/>
          <w:sz w:val="28"/>
          <w:szCs w:val="28"/>
        </w:rPr>
        <w:t xml:space="preserve">Ксенія </w:t>
      </w:r>
      <w:r w:rsidR="001D219C">
        <w:rPr>
          <w:rFonts w:ascii="Times New Roman" w:eastAsia="Calibri" w:hAnsi="Times New Roman" w:cs="Times New Roman"/>
          <w:b/>
          <w:sz w:val="28"/>
          <w:szCs w:val="28"/>
        </w:rPr>
        <w:t>КОНОВАЛЕНКО</w:t>
      </w:r>
      <w:r w:rsidRPr="006216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6A1A" w:rsidRDefault="00E26A1A" w:rsidP="0062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A1A" w:rsidSect="0075035F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8E" w:rsidRDefault="0087318E" w:rsidP="0081272F">
      <w:pPr>
        <w:spacing w:after="0" w:line="240" w:lineRule="auto"/>
      </w:pPr>
      <w:r>
        <w:separator/>
      </w:r>
    </w:p>
  </w:endnote>
  <w:endnote w:type="continuationSeparator" w:id="0">
    <w:p w:rsidR="0087318E" w:rsidRDefault="0087318E" w:rsidP="0081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8E" w:rsidRDefault="0087318E" w:rsidP="0081272F">
      <w:pPr>
        <w:spacing w:after="0" w:line="240" w:lineRule="auto"/>
      </w:pPr>
      <w:r>
        <w:separator/>
      </w:r>
    </w:p>
  </w:footnote>
  <w:footnote w:type="continuationSeparator" w:id="0">
    <w:p w:rsidR="0087318E" w:rsidRDefault="0087318E" w:rsidP="0081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498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0CE0" w:rsidRPr="0081272F" w:rsidRDefault="00DE28D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7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0CE0" w:rsidRPr="008127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7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5E08" w:rsidRPr="00035E0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8127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0CE0" w:rsidRDefault="00840C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6006B3"/>
    <w:multiLevelType w:val="hybridMultilevel"/>
    <w:tmpl w:val="962829C8"/>
    <w:lvl w:ilvl="0" w:tplc="48123F9E">
      <w:start w:val="17"/>
      <w:numFmt w:val="bullet"/>
      <w:lvlText w:val="-"/>
      <w:lvlJc w:val="left"/>
      <w:pPr>
        <w:ind w:left="117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BAC64B0"/>
    <w:multiLevelType w:val="hybridMultilevel"/>
    <w:tmpl w:val="BDBE9816"/>
    <w:lvl w:ilvl="0" w:tplc="451A58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12DB0"/>
    <w:multiLevelType w:val="hybridMultilevel"/>
    <w:tmpl w:val="03DC57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E47AC7"/>
    <w:multiLevelType w:val="hybridMultilevel"/>
    <w:tmpl w:val="2FA2B960"/>
    <w:lvl w:ilvl="0" w:tplc="35B27E7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F0BB3"/>
    <w:rsid w:val="0000361B"/>
    <w:rsid w:val="000040B8"/>
    <w:rsid w:val="00006EC1"/>
    <w:rsid w:val="00010337"/>
    <w:rsid w:val="000132F4"/>
    <w:rsid w:val="00013480"/>
    <w:rsid w:val="00016604"/>
    <w:rsid w:val="000234BA"/>
    <w:rsid w:val="00023D31"/>
    <w:rsid w:val="000248A4"/>
    <w:rsid w:val="00032A63"/>
    <w:rsid w:val="00035E08"/>
    <w:rsid w:val="00041A5D"/>
    <w:rsid w:val="00042E1A"/>
    <w:rsid w:val="0004426A"/>
    <w:rsid w:val="0004682E"/>
    <w:rsid w:val="0005483C"/>
    <w:rsid w:val="00055874"/>
    <w:rsid w:val="0005752B"/>
    <w:rsid w:val="000644F8"/>
    <w:rsid w:val="00065735"/>
    <w:rsid w:val="0007608C"/>
    <w:rsid w:val="000807A6"/>
    <w:rsid w:val="0009249E"/>
    <w:rsid w:val="000928E1"/>
    <w:rsid w:val="000A21C9"/>
    <w:rsid w:val="000A5315"/>
    <w:rsid w:val="000C2F35"/>
    <w:rsid w:val="000D32EB"/>
    <w:rsid w:val="00105823"/>
    <w:rsid w:val="00110632"/>
    <w:rsid w:val="00114F00"/>
    <w:rsid w:val="00115EBC"/>
    <w:rsid w:val="00125BDE"/>
    <w:rsid w:val="0012610A"/>
    <w:rsid w:val="00133A0B"/>
    <w:rsid w:val="00134E70"/>
    <w:rsid w:val="001417B3"/>
    <w:rsid w:val="00141A7F"/>
    <w:rsid w:val="001425D6"/>
    <w:rsid w:val="0014688F"/>
    <w:rsid w:val="00153288"/>
    <w:rsid w:val="00162AE7"/>
    <w:rsid w:val="001828E8"/>
    <w:rsid w:val="00183AB6"/>
    <w:rsid w:val="0018483D"/>
    <w:rsid w:val="001971D9"/>
    <w:rsid w:val="001A7BCA"/>
    <w:rsid w:val="001B6AA1"/>
    <w:rsid w:val="001B6D9C"/>
    <w:rsid w:val="001B741C"/>
    <w:rsid w:val="001C1200"/>
    <w:rsid w:val="001C1CC6"/>
    <w:rsid w:val="001C4ED4"/>
    <w:rsid w:val="001D219C"/>
    <w:rsid w:val="001E4A05"/>
    <w:rsid w:val="001F1061"/>
    <w:rsid w:val="001F3861"/>
    <w:rsid w:val="00207BC4"/>
    <w:rsid w:val="00223C18"/>
    <w:rsid w:val="002439E7"/>
    <w:rsid w:val="00245B23"/>
    <w:rsid w:val="00250A1B"/>
    <w:rsid w:val="00282DC0"/>
    <w:rsid w:val="002A366E"/>
    <w:rsid w:val="002B59DD"/>
    <w:rsid w:val="002C04D8"/>
    <w:rsid w:val="002C258E"/>
    <w:rsid w:val="002D002A"/>
    <w:rsid w:val="002D461E"/>
    <w:rsid w:val="002D572F"/>
    <w:rsid w:val="002F1D4B"/>
    <w:rsid w:val="002F5737"/>
    <w:rsid w:val="0030579E"/>
    <w:rsid w:val="003112FC"/>
    <w:rsid w:val="003142D3"/>
    <w:rsid w:val="00314A7D"/>
    <w:rsid w:val="00326540"/>
    <w:rsid w:val="00326E45"/>
    <w:rsid w:val="00336127"/>
    <w:rsid w:val="00337CCF"/>
    <w:rsid w:val="00346533"/>
    <w:rsid w:val="00352C07"/>
    <w:rsid w:val="00353BE1"/>
    <w:rsid w:val="003569A9"/>
    <w:rsid w:val="00361B9E"/>
    <w:rsid w:val="0036205D"/>
    <w:rsid w:val="00362387"/>
    <w:rsid w:val="00365C6C"/>
    <w:rsid w:val="003727CD"/>
    <w:rsid w:val="00381B62"/>
    <w:rsid w:val="00384EBC"/>
    <w:rsid w:val="00392A15"/>
    <w:rsid w:val="00395EB5"/>
    <w:rsid w:val="003A108A"/>
    <w:rsid w:val="003B5ED0"/>
    <w:rsid w:val="003D0B5F"/>
    <w:rsid w:val="003E65C0"/>
    <w:rsid w:val="003F4256"/>
    <w:rsid w:val="003F43DE"/>
    <w:rsid w:val="003F497C"/>
    <w:rsid w:val="003F6B60"/>
    <w:rsid w:val="004019DF"/>
    <w:rsid w:val="0040369A"/>
    <w:rsid w:val="00425EE2"/>
    <w:rsid w:val="00434069"/>
    <w:rsid w:val="00434B0C"/>
    <w:rsid w:val="00442337"/>
    <w:rsid w:val="0044492E"/>
    <w:rsid w:val="00445295"/>
    <w:rsid w:val="004478AA"/>
    <w:rsid w:val="004528CE"/>
    <w:rsid w:val="0046175E"/>
    <w:rsid w:val="00461853"/>
    <w:rsid w:val="00462895"/>
    <w:rsid w:val="00464948"/>
    <w:rsid w:val="0046639F"/>
    <w:rsid w:val="004670E7"/>
    <w:rsid w:val="004701E8"/>
    <w:rsid w:val="0048624B"/>
    <w:rsid w:val="00494AEB"/>
    <w:rsid w:val="004A6736"/>
    <w:rsid w:val="004B37B2"/>
    <w:rsid w:val="004B38E1"/>
    <w:rsid w:val="004B50DC"/>
    <w:rsid w:val="004B7640"/>
    <w:rsid w:val="004C6692"/>
    <w:rsid w:val="004C68FC"/>
    <w:rsid w:val="004E4BBB"/>
    <w:rsid w:val="004F22F0"/>
    <w:rsid w:val="004F67B2"/>
    <w:rsid w:val="00511640"/>
    <w:rsid w:val="00524E0F"/>
    <w:rsid w:val="0052653A"/>
    <w:rsid w:val="0054004C"/>
    <w:rsid w:val="00554439"/>
    <w:rsid w:val="00563FC9"/>
    <w:rsid w:val="00566CC7"/>
    <w:rsid w:val="0057684E"/>
    <w:rsid w:val="00583BAA"/>
    <w:rsid w:val="00585D9E"/>
    <w:rsid w:val="005A0919"/>
    <w:rsid w:val="005A4FA6"/>
    <w:rsid w:val="005A7249"/>
    <w:rsid w:val="005C4F8E"/>
    <w:rsid w:val="005D545D"/>
    <w:rsid w:val="005D614D"/>
    <w:rsid w:val="005E1482"/>
    <w:rsid w:val="005E4D2A"/>
    <w:rsid w:val="006123F1"/>
    <w:rsid w:val="00614E04"/>
    <w:rsid w:val="00621690"/>
    <w:rsid w:val="006239A3"/>
    <w:rsid w:val="00623F5E"/>
    <w:rsid w:val="006325A5"/>
    <w:rsid w:val="006418BE"/>
    <w:rsid w:val="00642224"/>
    <w:rsid w:val="00644731"/>
    <w:rsid w:val="006477B3"/>
    <w:rsid w:val="00663FBE"/>
    <w:rsid w:val="00665486"/>
    <w:rsid w:val="00674400"/>
    <w:rsid w:val="006746D5"/>
    <w:rsid w:val="00674F7D"/>
    <w:rsid w:val="00677773"/>
    <w:rsid w:val="0068169F"/>
    <w:rsid w:val="006908E8"/>
    <w:rsid w:val="00695130"/>
    <w:rsid w:val="006965DC"/>
    <w:rsid w:val="006A782F"/>
    <w:rsid w:val="006B5E82"/>
    <w:rsid w:val="006D58B3"/>
    <w:rsid w:val="006E1DB1"/>
    <w:rsid w:val="006E3558"/>
    <w:rsid w:val="006E5BD6"/>
    <w:rsid w:val="006F1933"/>
    <w:rsid w:val="00720EBF"/>
    <w:rsid w:val="00724FE6"/>
    <w:rsid w:val="007425ED"/>
    <w:rsid w:val="007436B9"/>
    <w:rsid w:val="007451AC"/>
    <w:rsid w:val="00746332"/>
    <w:rsid w:val="0075035F"/>
    <w:rsid w:val="00752B04"/>
    <w:rsid w:val="007630FE"/>
    <w:rsid w:val="00763DF3"/>
    <w:rsid w:val="00767A04"/>
    <w:rsid w:val="007721A9"/>
    <w:rsid w:val="00782E02"/>
    <w:rsid w:val="00784352"/>
    <w:rsid w:val="00784A10"/>
    <w:rsid w:val="007A2786"/>
    <w:rsid w:val="007B3FA5"/>
    <w:rsid w:val="007E1DEC"/>
    <w:rsid w:val="007F2F61"/>
    <w:rsid w:val="00801B9E"/>
    <w:rsid w:val="00807752"/>
    <w:rsid w:val="0081272F"/>
    <w:rsid w:val="0082373A"/>
    <w:rsid w:val="00831E90"/>
    <w:rsid w:val="0083559B"/>
    <w:rsid w:val="00840CE0"/>
    <w:rsid w:val="0084188A"/>
    <w:rsid w:val="00841A10"/>
    <w:rsid w:val="008454EF"/>
    <w:rsid w:val="00852EDD"/>
    <w:rsid w:val="00865FAC"/>
    <w:rsid w:val="00867FBB"/>
    <w:rsid w:val="0087318E"/>
    <w:rsid w:val="0087342F"/>
    <w:rsid w:val="00874504"/>
    <w:rsid w:val="00894CA4"/>
    <w:rsid w:val="00894F99"/>
    <w:rsid w:val="008974B1"/>
    <w:rsid w:val="008A358B"/>
    <w:rsid w:val="008B4800"/>
    <w:rsid w:val="008B77C4"/>
    <w:rsid w:val="008D00E7"/>
    <w:rsid w:val="008D070B"/>
    <w:rsid w:val="008D2B5C"/>
    <w:rsid w:val="008D3FBA"/>
    <w:rsid w:val="008D4824"/>
    <w:rsid w:val="008D4A11"/>
    <w:rsid w:val="008E1DAF"/>
    <w:rsid w:val="008E3908"/>
    <w:rsid w:val="008F182B"/>
    <w:rsid w:val="008F5B09"/>
    <w:rsid w:val="009015CD"/>
    <w:rsid w:val="0090712B"/>
    <w:rsid w:val="0092635F"/>
    <w:rsid w:val="009265C6"/>
    <w:rsid w:val="00931ADD"/>
    <w:rsid w:val="009330E4"/>
    <w:rsid w:val="009420D1"/>
    <w:rsid w:val="00947B8F"/>
    <w:rsid w:val="00956D49"/>
    <w:rsid w:val="00972A55"/>
    <w:rsid w:val="00974757"/>
    <w:rsid w:val="00974DCF"/>
    <w:rsid w:val="00983747"/>
    <w:rsid w:val="00983A37"/>
    <w:rsid w:val="00987313"/>
    <w:rsid w:val="009A2E3C"/>
    <w:rsid w:val="009A6325"/>
    <w:rsid w:val="009A7AFC"/>
    <w:rsid w:val="009B638B"/>
    <w:rsid w:val="009C3161"/>
    <w:rsid w:val="009C3A40"/>
    <w:rsid w:val="009E4988"/>
    <w:rsid w:val="009F0302"/>
    <w:rsid w:val="00A10499"/>
    <w:rsid w:val="00A104BF"/>
    <w:rsid w:val="00A12911"/>
    <w:rsid w:val="00A203AA"/>
    <w:rsid w:val="00A21585"/>
    <w:rsid w:val="00A247BD"/>
    <w:rsid w:val="00A27915"/>
    <w:rsid w:val="00A31152"/>
    <w:rsid w:val="00A4450F"/>
    <w:rsid w:val="00A572A5"/>
    <w:rsid w:val="00A6072B"/>
    <w:rsid w:val="00A62CB8"/>
    <w:rsid w:val="00A650D5"/>
    <w:rsid w:val="00A7556C"/>
    <w:rsid w:val="00AE0C61"/>
    <w:rsid w:val="00AF2809"/>
    <w:rsid w:val="00AF545E"/>
    <w:rsid w:val="00B00649"/>
    <w:rsid w:val="00B05CAC"/>
    <w:rsid w:val="00B10BF5"/>
    <w:rsid w:val="00B22B48"/>
    <w:rsid w:val="00B37163"/>
    <w:rsid w:val="00B4475B"/>
    <w:rsid w:val="00B4490C"/>
    <w:rsid w:val="00B54AF7"/>
    <w:rsid w:val="00B646D3"/>
    <w:rsid w:val="00B815EA"/>
    <w:rsid w:val="00B8231A"/>
    <w:rsid w:val="00B90FD2"/>
    <w:rsid w:val="00BA479C"/>
    <w:rsid w:val="00BB1F7D"/>
    <w:rsid w:val="00BC72BD"/>
    <w:rsid w:val="00BE0EFC"/>
    <w:rsid w:val="00BE61CE"/>
    <w:rsid w:val="00BE7888"/>
    <w:rsid w:val="00BF3EE8"/>
    <w:rsid w:val="00BF7AE6"/>
    <w:rsid w:val="00C0401F"/>
    <w:rsid w:val="00C208EF"/>
    <w:rsid w:val="00C2634D"/>
    <w:rsid w:val="00C50D0F"/>
    <w:rsid w:val="00C65C93"/>
    <w:rsid w:val="00C84F35"/>
    <w:rsid w:val="00CA46BC"/>
    <w:rsid w:val="00CB5110"/>
    <w:rsid w:val="00CB5592"/>
    <w:rsid w:val="00CB6E20"/>
    <w:rsid w:val="00CC03AD"/>
    <w:rsid w:val="00CC210D"/>
    <w:rsid w:val="00CC7504"/>
    <w:rsid w:val="00CD4E3F"/>
    <w:rsid w:val="00CE0A7C"/>
    <w:rsid w:val="00CF0EAB"/>
    <w:rsid w:val="00CF2FEE"/>
    <w:rsid w:val="00D02734"/>
    <w:rsid w:val="00D14D38"/>
    <w:rsid w:val="00D154EE"/>
    <w:rsid w:val="00D3687A"/>
    <w:rsid w:val="00D41CA3"/>
    <w:rsid w:val="00D47906"/>
    <w:rsid w:val="00D52D88"/>
    <w:rsid w:val="00D53795"/>
    <w:rsid w:val="00D55E88"/>
    <w:rsid w:val="00D67C23"/>
    <w:rsid w:val="00D71EAD"/>
    <w:rsid w:val="00D744C7"/>
    <w:rsid w:val="00D76508"/>
    <w:rsid w:val="00DA269F"/>
    <w:rsid w:val="00DA2904"/>
    <w:rsid w:val="00DA474A"/>
    <w:rsid w:val="00DB0F39"/>
    <w:rsid w:val="00DC6D2F"/>
    <w:rsid w:val="00DD0B95"/>
    <w:rsid w:val="00DD54A5"/>
    <w:rsid w:val="00DE28DC"/>
    <w:rsid w:val="00DE4B13"/>
    <w:rsid w:val="00DE6BD6"/>
    <w:rsid w:val="00DF0BB3"/>
    <w:rsid w:val="00DF176A"/>
    <w:rsid w:val="00DF5282"/>
    <w:rsid w:val="00DF52C8"/>
    <w:rsid w:val="00E0149D"/>
    <w:rsid w:val="00E03B86"/>
    <w:rsid w:val="00E06F84"/>
    <w:rsid w:val="00E07111"/>
    <w:rsid w:val="00E07D27"/>
    <w:rsid w:val="00E23C3E"/>
    <w:rsid w:val="00E24CAD"/>
    <w:rsid w:val="00E251A6"/>
    <w:rsid w:val="00E26A1A"/>
    <w:rsid w:val="00E3774F"/>
    <w:rsid w:val="00E85D65"/>
    <w:rsid w:val="00E956C1"/>
    <w:rsid w:val="00EA2282"/>
    <w:rsid w:val="00EA655A"/>
    <w:rsid w:val="00EB1D84"/>
    <w:rsid w:val="00EB2C16"/>
    <w:rsid w:val="00ED03B7"/>
    <w:rsid w:val="00ED09AC"/>
    <w:rsid w:val="00ED0BF1"/>
    <w:rsid w:val="00ED0D4C"/>
    <w:rsid w:val="00ED1571"/>
    <w:rsid w:val="00ED59EA"/>
    <w:rsid w:val="00ED5B06"/>
    <w:rsid w:val="00EE3F94"/>
    <w:rsid w:val="00EF009D"/>
    <w:rsid w:val="00F21A17"/>
    <w:rsid w:val="00F25357"/>
    <w:rsid w:val="00F346E8"/>
    <w:rsid w:val="00F44BB8"/>
    <w:rsid w:val="00F4701F"/>
    <w:rsid w:val="00F5146E"/>
    <w:rsid w:val="00F52C8C"/>
    <w:rsid w:val="00F64EED"/>
    <w:rsid w:val="00F6625A"/>
    <w:rsid w:val="00F71212"/>
    <w:rsid w:val="00F84EFF"/>
    <w:rsid w:val="00F926E2"/>
    <w:rsid w:val="00F947B0"/>
    <w:rsid w:val="00FC1D8B"/>
    <w:rsid w:val="00FC50A1"/>
    <w:rsid w:val="00FD20CF"/>
    <w:rsid w:val="00FD4DE1"/>
    <w:rsid w:val="00FE6C23"/>
    <w:rsid w:val="00FE785B"/>
    <w:rsid w:val="00FF205E"/>
    <w:rsid w:val="00FF68F7"/>
    <w:rsid w:val="00FF6BC5"/>
    <w:rsid w:val="00FF71C2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2F"/>
  </w:style>
  <w:style w:type="paragraph" w:styleId="a6">
    <w:name w:val="footer"/>
    <w:basedOn w:val="a"/>
    <w:link w:val="a7"/>
    <w:uiPriority w:val="99"/>
    <w:unhideWhenUsed/>
    <w:rsid w:val="008127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2F"/>
  </w:style>
  <w:style w:type="paragraph" w:styleId="a8">
    <w:name w:val="Balloon Text"/>
    <w:basedOn w:val="a"/>
    <w:link w:val="a9"/>
    <w:uiPriority w:val="99"/>
    <w:semiHidden/>
    <w:unhideWhenUsed/>
    <w:rsid w:val="006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23F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4A6736"/>
  </w:style>
  <w:style w:type="paragraph" w:customStyle="1" w:styleId="rvps2">
    <w:name w:val="rvps2"/>
    <w:basedOn w:val="a"/>
    <w:rsid w:val="004A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8E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8E1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ий текст (2)_"/>
    <w:link w:val="20"/>
    <w:rsid w:val="00A104BF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ий текст (2) + 11 pt;Не напівжирний"/>
    <w:rsid w:val="00A104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ий текст (2)"/>
    <w:basedOn w:val="a"/>
    <w:link w:val="2"/>
    <w:rsid w:val="00A104BF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9F0302"/>
    <w:rPr>
      <w:color w:val="0000FF"/>
      <w:u w:val="single"/>
    </w:rPr>
  </w:style>
  <w:style w:type="paragraph" w:styleId="ac">
    <w:name w:val="Normal (Web)"/>
    <w:basedOn w:val="a"/>
    <w:rsid w:val="00FF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20F4-508A-4FA2-8FBD-06A79E35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1004</Words>
  <Characters>6964</Characters>
  <Application>Microsoft Office Word</Application>
  <DocSecurity>0</DocSecurity>
  <Lines>240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Плевако Сергій Петрович</dc:creator>
  <cp:lastModifiedBy>User_DUS_564</cp:lastModifiedBy>
  <cp:revision>7</cp:revision>
  <cp:lastPrinted>2021-04-02T12:01:00Z</cp:lastPrinted>
  <dcterms:created xsi:type="dcterms:W3CDTF">2021-03-30T11:43:00Z</dcterms:created>
  <dcterms:modified xsi:type="dcterms:W3CDTF">2021-04-02T12:01:00Z</dcterms:modified>
</cp:coreProperties>
</file>